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B3" w:rsidRDefault="00521938" w:rsidP="00521938">
      <w:pPr>
        <w:pStyle w:val="NoSpacing"/>
        <w:jc w:val="center"/>
        <w:rPr>
          <w:rFonts w:ascii="Times New Roman" w:hAnsi="Times New Roman" w:cs="Times New Roman"/>
          <w:sz w:val="24"/>
        </w:rPr>
      </w:pPr>
      <w:r>
        <w:rPr>
          <w:rFonts w:ascii="Times New Roman" w:hAnsi="Times New Roman" w:cs="Times New Roman"/>
          <w:b/>
          <w:sz w:val="24"/>
        </w:rPr>
        <w:t>List of Revisions</w:t>
      </w:r>
    </w:p>
    <w:p w:rsidR="00521938" w:rsidRDefault="00521938" w:rsidP="00521938">
      <w:pPr>
        <w:pStyle w:val="NoSpacing"/>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4675"/>
        <w:gridCol w:w="4675"/>
      </w:tblGrid>
      <w:tr w:rsidR="00521938" w:rsidTr="00521938">
        <w:tc>
          <w:tcPr>
            <w:tcW w:w="4675" w:type="dxa"/>
          </w:tcPr>
          <w:p w:rsidR="00521938" w:rsidRPr="00521938" w:rsidRDefault="00521938" w:rsidP="00521938">
            <w:pPr>
              <w:pStyle w:val="NoSpacing"/>
              <w:jc w:val="center"/>
              <w:rPr>
                <w:rFonts w:ascii="Times New Roman" w:hAnsi="Times New Roman" w:cs="Times New Roman"/>
                <w:b/>
                <w:sz w:val="24"/>
              </w:rPr>
            </w:pPr>
            <w:r>
              <w:rPr>
                <w:rFonts w:ascii="Times New Roman" w:hAnsi="Times New Roman" w:cs="Times New Roman"/>
                <w:b/>
                <w:sz w:val="24"/>
              </w:rPr>
              <w:t>Reviewers’ Concerns</w:t>
            </w:r>
          </w:p>
        </w:tc>
        <w:tc>
          <w:tcPr>
            <w:tcW w:w="4675" w:type="dxa"/>
          </w:tcPr>
          <w:p w:rsidR="00521938" w:rsidRPr="00521938" w:rsidRDefault="009E1D4A" w:rsidP="00521938">
            <w:pPr>
              <w:pStyle w:val="NoSpacing"/>
              <w:jc w:val="center"/>
              <w:rPr>
                <w:rFonts w:ascii="Times New Roman" w:hAnsi="Times New Roman" w:cs="Times New Roman"/>
                <w:b/>
                <w:sz w:val="24"/>
              </w:rPr>
            </w:pPr>
            <w:r>
              <w:rPr>
                <w:rFonts w:ascii="Times New Roman" w:hAnsi="Times New Roman" w:cs="Times New Roman"/>
                <w:b/>
                <w:sz w:val="24"/>
              </w:rPr>
              <w:t>Relevant</w:t>
            </w:r>
            <w:r w:rsidR="00521938">
              <w:rPr>
                <w:rFonts w:ascii="Times New Roman" w:hAnsi="Times New Roman" w:cs="Times New Roman"/>
                <w:b/>
                <w:sz w:val="24"/>
              </w:rPr>
              <w:t xml:space="preserve"> Changes</w:t>
            </w:r>
          </w:p>
        </w:tc>
      </w:tr>
      <w:tr w:rsidR="00521938" w:rsidRPr="00AC385A" w:rsidTr="00521938">
        <w:tc>
          <w:tcPr>
            <w:tcW w:w="4675" w:type="dxa"/>
          </w:tcPr>
          <w:p w:rsidR="00521938" w:rsidRPr="00AC385A" w:rsidRDefault="00AC385A" w:rsidP="00AC385A">
            <w:pPr>
              <w:pStyle w:val="NoSpacing"/>
              <w:rPr>
                <w:rFonts w:ascii="Times New Roman" w:hAnsi="Times New Roman" w:cs="Times New Roman"/>
                <w:sz w:val="24"/>
              </w:rPr>
            </w:pPr>
            <w:r w:rsidRPr="00AC385A">
              <w:rPr>
                <w:rFonts w:ascii="Times New Roman" w:hAnsi="Times New Roman" w:cs="Times New Roman"/>
                <w:sz w:val="24"/>
              </w:rPr>
              <w:t>As you prepare your revision, please unblind the article and add back in any "author" citations.</w:t>
            </w:r>
          </w:p>
        </w:tc>
        <w:tc>
          <w:tcPr>
            <w:tcW w:w="4675" w:type="dxa"/>
          </w:tcPr>
          <w:p w:rsidR="00521938" w:rsidRPr="00AC385A" w:rsidRDefault="00AC385A" w:rsidP="00AC385A">
            <w:pPr>
              <w:pStyle w:val="NoSpacing"/>
              <w:rPr>
                <w:rFonts w:ascii="Times New Roman" w:hAnsi="Times New Roman" w:cs="Times New Roman"/>
                <w:sz w:val="24"/>
              </w:rPr>
            </w:pPr>
            <w:r>
              <w:rPr>
                <w:rFonts w:ascii="Times New Roman" w:hAnsi="Times New Roman" w:cs="Times New Roman"/>
                <w:sz w:val="24"/>
              </w:rPr>
              <w:t>“Author” citations replaced accordingly in-text, in the Acknowledgement, and in the References.</w:t>
            </w:r>
          </w:p>
        </w:tc>
      </w:tr>
      <w:tr w:rsidR="00230354" w:rsidRPr="00AC385A" w:rsidTr="002441C6">
        <w:tc>
          <w:tcPr>
            <w:tcW w:w="9350" w:type="dxa"/>
            <w:gridSpan w:val="2"/>
          </w:tcPr>
          <w:p w:rsidR="00230354" w:rsidRPr="00230354" w:rsidRDefault="00230354" w:rsidP="00230354">
            <w:pPr>
              <w:pStyle w:val="NoSpacing"/>
              <w:jc w:val="center"/>
              <w:rPr>
                <w:rFonts w:ascii="Times New Roman" w:hAnsi="Times New Roman" w:cs="Times New Roman"/>
                <w:b/>
                <w:sz w:val="24"/>
              </w:rPr>
            </w:pPr>
            <w:r w:rsidRPr="00230354">
              <w:rPr>
                <w:rFonts w:ascii="Times New Roman" w:hAnsi="Times New Roman" w:cs="Times New Roman"/>
                <w:b/>
                <w:sz w:val="24"/>
              </w:rPr>
              <w:t>In-Text Comments</w:t>
            </w:r>
          </w:p>
        </w:tc>
      </w:tr>
      <w:tr w:rsidR="00521938" w:rsidRPr="00AC385A" w:rsidTr="00521938">
        <w:tc>
          <w:tcPr>
            <w:tcW w:w="4675" w:type="dxa"/>
          </w:tcPr>
          <w:p w:rsidR="00521938" w:rsidRPr="00C2555B" w:rsidRDefault="00C2555B" w:rsidP="00AC385A">
            <w:pPr>
              <w:pStyle w:val="NoSpacing"/>
              <w:rPr>
                <w:rFonts w:ascii="Times New Roman" w:hAnsi="Times New Roman" w:cs="Times New Roman"/>
                <w:sz w:val="24"/>
              </w:rPr>
            </w:pPr>
            <w:r w:rsidRPr="00C2555B">
              <w:rPr>
                <w:rFonts w:ascii="Times New Roman" w:hAnsi="Times New Roman" w:cs="Times New Roman"/>
                <w:sz w:val="24"/>
              </w:rPr>
              <w:t>According to APA, parenthetical citations always need the author and year.</w:t>
            </w:r>
          </w:p>
        </w:tc>
        <w:tc>
          <w:tcPr>
            <w:tcW w:w="4675" w:type="dxa"/>
          </w:tcPr>
          <w:p w:rsidR="00521938" w:rsidRPr="00AC385A" w:rsidRDefault="00C2555B" w:rsidP="00AC385A">
            <w:pPr>
              <w:pStyle w:val="NoSpacing"/>
              <w:rPr>
                <w:rFonts w:ascii="Times New Roman" w:hAnsi="Times New Roman" w:cs="Times New Roman"/>
                <w:sz w:val="24"/>
              </w:rPr>
            </w:pPr>
            <w:r>
              <w:rPr>
                <w:rFonts w:ascii="Times New Roman" w:hAnsi="Times New Roman" w:cs="Times New Roman"/>
                <w:sz w:val="24"/>
              </w:rPr>
              <w:t xml:space="preserve">Dates added to all </w:t>
            </w:r>
            <w:r w:rsidRPr="00C2555B">
              <w:rPr>
                <w:rFonts w:ascii="Times New Roman" w:hAnsi="Times New Roman" w:cs="Times New Roman"/>
                <w:sz w:val="24"/>
              </w:rPr>
              <w:t>parenthetical citations</w:t>
            </w:r>
            <w:r>
              <w:rPr>
                <w:rFonts w:ascii="Times New Roman" w:hAnsi="Times New Roman" w:cs="Times New Roman"/>
                <w:sz w:val="24"/>
              </w:rPr>
              <w:t xml:space="preserve"> where they were missing</w:t>
            </w:r>
            <w:r w:rsidR="00C365D3">
              <w:rPr>
                <w:rFonts w:ascii="Times New Roman" w:hAnsi="Times New Roman" w:cs="Times New Roman"/>
                <w:sz w:val="24"/>
              </w:rPr>
              <w:t>.</w:t>
            </w:r>
          </w:p>
        </w:tc>
      </w:tr>
      <w:tr w:rsidR="00521938" w:rsidRPr="00AC385A" w:rsidTr="00521938">
        <w:tc>
          <w:tcPr>
            <w:tcW w:w="4675" w:type="dxa"/>
          </w:tcPr>
          <w:p w:rsidR="00521938" w:rsidRPr="00AC385A" w:rsidRDefault="00C365D3" w:rsidP="00AC385A">
            <w:pPr>
              <w:pStyle w:val="NoSpacing"/>
              <w:rPr>
                <w:rFonts w:ascii="Times New Roman" w:hAnsi="Times New Roman" w:cs="Times New Roman"/>
                <w:sz w:val="24"/>
              </w:rPr>
            </w:pPr>
            <w:r>
              <w:rPr>
                <w:rFonts w:ascii="Times New Roman" w:hAnsi="Times New Roman" w:cs="Times New Roman"/>
                <w:sz w:val="24"/>
              </w:rPr>
              <w:t>n/a</w:t>
            </w:r>
          </w:p>
        </w:tc>
        <w:tc>
          <w:tcPr>
            <w:tcW w:w="4675" w:type="dxa"/>
          </w:tcPr>
          <w:p w:rsidR="00521938" w:rsidRPr="00AC385A" w:rsidRDefault="00C365D3" w:rsidP="00AC385A">
            <w:pPr>
              <w:pStyle w:val="NoSpacing"/>
              <w:rPr>
                <w:rFonts w:ascii="Times New Roman" w:hAnsi="Times New Roman" w:cs="Times New Roman"/>
                <w:sz w:val="24"/>
              </w:rPr>
            </w:pPr>
            <w:r>
              <w:rPr>
                <w:rFonts w:ascii="Times New Roman" w:hAnsi="Times New Roman" w:cs="Times New Roman"/>
                <w:sz w:val="24"/>
              </w:rPr>
              <w:t>Corrected a citation order error in paragraph 2 of the literature review</w:t>
            </w:r>
          </w:p>
        </w:tc>
      </w:tr>
      <w:tr w:rsidR="00521938" w:rsidRPr="00AC385A" w:rsidTr="00521938">
        <w:tc>
          <w:tcPr>
            <w:tcW w:w="4675" w:type="dxa"/>
          </w:tcPr>
          <w:p w:rsidR="00521938" w:rsidRPr="00AC385A" w:rsidRDefault="00820EE4" w:rsidP="00820EE4">
            <w:pPr>
              <w:pStyle w:val="NoSpacing"/>
              <w:rPr>
                <w:rFonts w:ascii="Times New Roman" w:hAnsi="Times New Roman" w:cs="Times New Roman"/>
                <w:sz w:val="24"/>
              </w:rPr>
            </w:pPr>
            <w:r>
              <w:rPr>
                <w:rFonts w:ascii="Times New Roman" w:hAnsi="Times New Roman" w:cs="Times New Roman"/>
                <w:sz w:val="24"/>
              </w:rPr>
              <w:t>Interest</w:t>
            </w:r>
            <w:r w:rsidRPr="00820EE4">
              <w:rPr>
                <w:rFonts w:ascii="Times New Roman" w:hAnsi="Times New Roman" w:cs="Times New Roman"/>
                <w:strike/>
                <w:sz w:val="24"/>
              </w:rPr>
              <w:t>ed</w:t>
            </w:r>
            <w:r>
              <w:rPr>
                <w:rFonts w:ascii="Times New Roman" w:hAnsi="Times New Roman" w:cs="Times New Roman"/>
                <w:sz w:val="24"/>
              </w:rPr>
              <w:t xml:space="preserve"> ; objective</w:t>
            </w:r>
            <w:r w:rsidRPr="00820EE4">
              <w:rPr>
                <w:rFonts w:ascii="Times New Roman" w:hAnsi="Times New Roman" w:cs="Times New Roman"/>
                <w:sz w:val="24"/>
                <w:u w:val="single"/>
              </w:rPr>
              <w:t>ly</w:t>
            </w:r>
          </w:p>
        </w:tc>
        <w:tc>
          <w:tcPr>
            <w:tcW w:w="4675" w:type="dxa"/>
          </w:tcPr>
          <w:p w:rsidR="00521938" w:rsidRPr="00AC385A" w:rsidRDefault="00D83105" w:rsidP="00D83105">
            <w:pPr>
              <w:pStyle w:val="NoSpacing"/>
              <w:rPr>
                <w:rFonts w:ascii="Times New Roman" w:hAnsi="Times New Roman" w:cs="Times New Roman"/>
                <w:sz w:val="24"/>
              </w:rPr>
            </w:pPr>
            <w:r>
              <w:rPr>
                <w:rFonts w:ascii="Times New Roman" w:hAnsi="Times New Roman" w:cs="Times New Roman"/>
                <w:sz w:val="24"/>
              </w:rPr>
              <w:t>Corrected.</w:t>
            </w:r>
          </w:p>
        </w:tc>
      </w:tr>
      <w:tr w:rsidR="00521938" w:rsidRPr="00AC385A" w:rsidTr="00521938">
        <w:tc>
          <w:tcPr>
            <w:tcW w:w="4675" w:type="dxa"/>
          </w:tcPr>
          <w:p w:rsidR="00521938" w:rsidRPr="00AC385A" w:rsidRDefault="009214BA" w:rsidP="009214BA">
            <w:pPr>
              <w:pStyle w:val="CommentText"/>
              <w:rPr>
                <w:sz w:val="24"/>
              </w:rPr>
            </w:pPr>
            <w:r w:rsidRPr="009214BA">
              <w:rPr>
                <w:rStyle w:val="CommentReference"/>
                <w:sz w:val="24"/>
                <w:szCs w:val="24"/>
              </w:rPr>
              <w:annotationRef/>
            </w:r>
            <w:r w:rsidRPr="009214BA">
              <w:rPr>
                <w:sz w:val="24"/>
                <w:szCs w:val="24"/>
              </w:rPr>
              <w:t>This is the first instance of this citation, thus all authors names should be listed rather than use et al.</w:t>
            </w:r>
          </w:p>
        </w:tc>
        <w:tc>
          <w:tcPr>
            <w:tcW w:w="4675" w:type="dxa"/>
          </w:tcPr>
          <w:p w:rsidR="00521938" w:rsidRPr="00AC385A" w:rsidRDefault="009214BA" w:rsidP="00AC385A">
            <w:pPr>
              <w:pStyle w:val="NoSpacing"/>
              <w:rPr>
                <w:rFonts w:ascii="Times New Roman" w:hAnsi="Times New Roman" w:cs="Times New Roman"/>
                <w:sz w:val="24"/>
              </w:rPr>
            </w:pPr>
            <w:r>
              <w:rPr>
                <w:rFonts w:ascii="Times New Roman" w:hAnsi="Times New Roman" w:cs="Times New Roman"/>
                <w:sz w:val="24"/>
              </w:rPr>
              <w:t>Replaced with the full citation.</w:t>
            </w:r>
          </w:p>
        </w:tc>
      </w:tr>
      <w:tr w:rsidR="00521938" w:rsidRPr="00AC385A" w:rsidTr="00521938">
        <w:tc>
          <w:tcPr>
            <w:tcW w:w="4675" w:type="dxa"/>
          </w:tcPr>
          <w:p w:rsidR="00521938" w:rsidRPr="00AC385A" w:rsidRDefault="00E9486E" w:rsidP="00AC385A">
            <w:pPr>
              <w:pStyle w:val="NoSpacing"/>
              <w:rPr>
                <w:rFonts w:ascii="Times New Roman" w:hAnsi="Times New Roman" w:cs="Times New Roman"/>
                <w:sz w:val="24"/>
              </w:rPr>
            </w:pPr>
            <w:r>
              <w:rPr>
                <w:rFonts w:ascii="Times New Roman" w:hAnsi="Times New Roman" w:cs="Times New Roman"/>
                <w:sz w:val="24"/>
              </w:rPr>
              <w:t xml:space="preserve">Kosnik, </w:t>
            </w:r>
            <w:r w:rsidRPr="00E9486E">
              <w:rPr>
                <w:rFonts w:ascii="Times New Roman" w:hAnsi="Times New Roman" w:cs="Times New Roman"/>
                <w:strike/>
                <w:sz w:val="24"/>
              </w:rPr>
              <w:t>Brown, &amp; Beck</w:t>
            </w:r>
            <w:r>
              <w:rPr>
                <w:rFonts w:ascii="Times New Roman" w:hAnsi="Times New Roman" w:cs="Times New Roman"/>
                <w:sz w:val="24"/>
              </w:rPr>
              <w:t xml:space="preserve"> et al., 2005</w:t>
            </w:r>
          </w:p>
        </w:tc>
        <w:tc>
          <w:tcPr>
            <w:tcW w:w="4675" w:type="dxa"/>
          </w:tcPr>
          <w:p w:rsidR="00521938" w:rsidRPr="00AC385A" w:rsidRDefault="00E9486E" w:rsidP="00AC385A">
            <w:pPr>
              <w:pStyle w:val="NoSpacing"/>
              <w:rPr>
                <w:rFonts w:ascii="Times New Roman" w:hAnsi="Times New Roman" w:cs="Times New Roman"/>
                <w:sz w:val="24"/>
              </w:rPr>
            </w:pPr>
            <w:r>
              <w:rPr>
                <w:rFonts w:ascii="Times New Roman" w:hAnsi="Times New Roman" w:cs="Times New Roman"/>
                <w:sz w:val="24"/>
              </w:rPr>
              <w:t>Corrected.</w:t>
            </w:r>
          </w:p>
        </w:tc>
      </w:tr>
      <w:tr w:rsidR="00521938" w:rsidRPr="00AC385A" w:rsidTr="00521938">
        <w:tc>
          <w:tcPr>
            <w:tcW w:w="4675" w:type="dxa"/>
          </w:tcPr>
          <w:p w:rsidR="00AC6657" w:rsidRDefault="00AC6657" w:rsidP="00AC6657">
            <w:pPr>
              <w:pStyle w:val="NoSpacing"/>
              <w:rPr>
                <w:rFonts w:ascii="Times New Roman" w:hAnsi="Times New Roman" w:cs="Times New Roman"/>
                <w:sz w:val="24"/>
              </w:rPr>
            </w:pPr>
            <w:r>
              <w:rPr>
                <w:rFonts w:ascii="Times New Roman" w:hAnsi="Times New Roman" w:cs="Times New Roman"/>
                <w:sz w:val="24"/>
              </w:rPr>
              <w:t>“</w:t>
            </w:r>
            <w:r w:rsidR="00094382">
              <w:rPr>
                <w:rFonts w:ascii="Times New Roman" w:hAnsi="Times New Roman" w:cs="Times New Roman"/>
                <w:sz w:val="24"/>
              </w:rPr>
              <w:t>…</w:t>
            </w:r>
            <w:r w:rsidRPr="00AC6657">
              <w:rPr>
                <w:rFonts w:ascii="Times New Roman" w:hAnsi="Times New Roman" w:cs="Times New Roman"/>
                <w:sz w:val="24"/>
              </w:rPr>
              <w:t>particularly if students receive help from outside sources whe</w:t>
            </w:r>
            <w:r>
              <w:rPr>
                <w:rFonts w:ascii="Times New Roman" w:hAnsi="Times New Roman" w:cs="Times New Roman"/>
                <w:sz w:val="24"/>
              </w:rPr>
              <w:t>n submitting their application”</w:t>
            </w:r>
            <w:r>
              <w:rPr>
                <w:rStyle w:val="CommentReference"/>
              </w:rPr>
              <w:annotationRef/>
            </w:r>
            <w:r>
              <w:rPr>
                <w:rFonts w:ascii="Times New Roman" w:hAnsi="Times New Roman" w:cs="Times New Roman"/>
                <w:sz w:val="24"/>
              </w:rPr>
              <w:t xml:space="preserve"> </w:t>
            </w:r>
          </w:p>
          <w:p w:rsidR="00AC6657" w:rsidRPr="00AC385A" w:rsidRDefault="00AC6657" w:rsidP="00AC6657">
            <w:pPr>
              <w:pStyle w:val="NoSpacing"/>
              <w:numPr>
                <w:ilvl w:val="0"/>
                <w:numId w:val="1"/>
              </w:numPr>
              <w:rPr>
                <w:rFonts w:ascii="Times New Roman" w:hAnsi="Times New Roman" w:cs="Times New Roman"/>
                <w:sz w:val="24"/>
              </w:rPr>
            </w:pPr>
            <w:r w:rsidRPr="00AC6657">
              <w:rPr>
                <w:rFonts w:ascii="Times New Roman" w:hAnsi="Times New Roman" w:cs="Times New Roman"/>
                <w:sz w:val="24"/>
              </w:rPr>
              <w:t>Has this been shown to occur to a significant degree? If so, it would be helpful to the reader if you could mention that this is common, and how common?</w:t>
            </w:r>
            <w:r w:rsidRPr="00AC6657">
              <w:rPr>
                <w:sz w:val="24"/>
              </w:rPr>
              <w:t xml:space="preserve"> </w:t>
            </w:r>
          </w:p>
        </w:tc>
        <w:tc>
          <w:tcPr>
            <w:tcW w:w="4675" w:type="dxa"/>
          </w:tcPr>
          <w:p w:rsidR="00521938" w:rsidRDefault="00F61A8A" w:rsidP="00AC385A">
            <w:pPr>
              <w:pStyle w:val="NoSpacing"/>
              <w:rPr>
                <w:rFonts w:ascii="Times New Roman" w:hAnsi="Times New Roman" w:cs="Times New Roman"/>
                <w:sz w:val="24"/>
              </w:rPr>
            </w:pPr>
            <w:r>
              <w:rPr>
                <w:rFonts w:ascii="Times New Roman" w:hAnsi="Times New Roman" w:cs="Times New Roman"/>
                <w:sz w:val="24"/>
              </w:rPr>
              <w:t>Added two sentences clarifying that</w:t>
            </w:r>
          </w:p>
          <w:p w:rsidR="00F61A8A" w:rsidRDefault="00F61A8A" w:rsidP="00F61A8A">
            <w:pPr>
              <w:pStyle w:val="NoSpacing"/>
              <w:numPr>
                <w:ilvl w:val="0"/>
                <w:numId w:val="3"/>
              </w:numPr>
              <w:rPr>
                <w:rFonts w:ascii="Times New Roman" w:hAnsi="Times New Roman" w:cs="Times New Roman"/>
                <w:sz w:val="24"/>
              </w:rPr>
            </w:pPr>
            <w:r>
              <w:rPr>
                <w:rFonts w:ascii="Times New Roman" w:hAnsi="Times New Roman" w:cs="Times New Roman"/>
                <w:sz w:val="24"/>
              </w:rPr>
              <w:t>Receiving outside help on admissions tools is common in the United States, and</w:t>
            </w:r>
          </w:p>
          <w:p w:rsidR="00F61A8A" w:rsidRPr="00AC385A" w:rsidRDefault="00F61A8A" w:rsidP="00F61A8A">
            <w:pPr>
              <w:pStyle w:val="NoSpacing"/>
              <w:numPr>
                <w:ilvl w:val="0"/>
                <w:numId w:val="3"/>
              </w:numPr>
              <w:rPr>
                <w:rFonts w:ascii="Times New Roman" w:hAnsi="Times New Roman" w:cs="Times New Roman"/>
                <w:sz w:val="24"/>
              </w:rPr>
            </w:pPr>
            <w:r>
              <w:rPr>
                <w:rFonts w:ascii="Times New Roman" w:hAnsi="Times New Roman" w:cs="Times New Roman"/>
                <w:sz w:val="24"/>
              </w:rPr>
              <w:t>Canadian researchers have expressed concern about this affecting the reliability of written statements</w:t>
            </w:r>
          </w:p>
        </w:tc>
      </w:tr>
      <w:tr w:rsidR="00094382" w:rsidRPr="00AC385A" w:rsidTr="00521938">
        <w:tc>
          <w:tcPr>
            <w:tcW w:w="4675" w:type="dxa"/>
          </w:tcPr>
          <w:p w:rsidR="00094382" w:rsidRDefault="002A79AE" w:rsidP="00AC6657">
            <w:pPr>
              <w:pStyle w:val="NoSpacing"/>
              <w:rPr>
                <w:rFonts w:ascii="Times New Roman" w:hAnsi="Times New Roman" w:cs="Times New Roman"/>
                <w:sz w:val="24"/>
              </w:rPr>
            </w:pPr>
            <w:r>
              <w:rPr>
                <w:rFonts w:ascii="Times New Roman" w:hAnsi="Times New Roman" w:cs="Times New Roman"/>
                <w:sz w:val="24"/>
              </w:rPr>
              <w:t>Inter-</w:t>
            </w:r>
            <w:r w:rsidRPr="002A79AE">
              <w:rPr>
                <w:rFonts w:ascii="Times New Roman" w:hAnsi="Times New Roman" w:cs="Times New Roman"/>
                <w:strike/>
                <w:sz w:val="24"/>
              </w:rPr>
              <w:t>rated</w:t>
            </w:r>
            <w:r>
              <w:rPr>
                <w:rFonts w:ascii="Times New Roman" w:hAnsi="Times New Roman" w:cs="Times New Roman"/>
                <w:sz w:val="24"/>
              </w:rPr>
              <w:t xml:space="preserve"> rater</w:t>
            </w:r>
          </w:p>
        </w:tc>
        <w:tc>
          <w:tcPr>
            <w:tcW w:w="4675" w:type="dxa"/>
          </w:tcPr>
          <w:p w:rsidR="00094382" w:rsidRDefault="002A79AE" w:rsidP="00AC385A">
            <w:pPr>
              <w:pStyle w:val="NoSpacing"/>
              <w:rPr>
                <w:rFonts w:ascii="Times New Roman" w:hAnsi="Times New Roman" w:cs="Times New Roman"/>
                <w:sz w:val="24"/>
              </w:rPr>
            </w:pPr>
            <w:r>
              <w:rPr>
                <w:rFonts w:ascii="Times New Roman" w:hAnsi="Times New Roman" w:cs="Times New Roman"/>
                <w:sz w:val="24"/>
              </w:rPr>
              <w:t>Corrected.</w:t>
            </w:r>
          </w:p>
        </w:tc>
      </w:tr>
      <w:tr w:rsidR="002A79AE" w:rsidRPr="00AC385A" w:rsidTr="00521938">
        <w:tc>
          <w:tcPr>
            <w:tcW w:w="4675" w:type="dxa"/>
          </w:tcPr>
          <w:p w:rsidR="002A79AE" w:rsidRPr="00F727DC" w:rsidRDefault="00F727DC" w:rsidP="00F727DC">
            <w:pPr>
              <w:pStyle w:val="CommentText"/>
            </w:pPr>
            <w:r>
              <w:rPr>
                <w:rStyle w:val="CommentReference"/>
              </w:rPr>
              <w:annotationRef/>
            </w:r>
            <w:r w:rsidRPr="00F727DC">
              <w:rPr>
                <w:sz w:val="24"/>
              </w:rPr>
              <w:t>Throughout this manuscript, you seem to be using “c.f.” to mean either “for example”, “see”, or “see also”. This is incorrect. The abbreviation “cf.” (no period between the letters) should only be used to provided contrasting or opposing information, that is, examples of studies or other sources which oppose what you have presented. To compare like things, the words “see” or “see also” should be used, and to offer examples of studies which support your claims, “e.g.” should be used. Please review your use of such abbreviations throughout, and consult APA rules to determine the correct one in each case.</w:t>
            </w:r>
          </w:p>
        </w:tc>
        <w:tc>
          <w:tcPr>
            <w:tcW w:w="4675" w:type="dxa"/>
          </w:tcPr>
          <w:p w:rsidR="002A79AE" w:rsidRDefault="00F727DC" w:rsidP="00AC385A">
            <w:pPr>
              <w:pStyle w:val="NoSpacing"/>
              <w:rPr>
                <w:rFonts w:ascii="Times New Roman" w:hAnsi="Times New Roman" w:cs="Times New Roman"/>
                <w:sz w:val="24"/>
              </w:rPr>
            </w:pPr>
            <w:r>
              <w:rPr>
                <w:rFonts w:ascii="Times New Roman" w:hAnsi="Times New Roman" w:cs="Times New Roman"/>
                <w:sz w:val="24"/>
              </w:rPr>
              <w:t>Incorrect cf.’s have been removed throughout, and replaced with the appropriate see’s/e.g.’s</w:t>
            </w:r>
          </w:p>
        </w:tc>
      </w:tr>
      <w:tr w:rsidR="002A79AE" w:rsidRPr="00AC385A" w:rsidTr="008C5A1E">
        <w:tc>
          <w:tcPr>
            <w:tcW w:w="4675" w:type="dxa"/>
            <w:shd w:val="clear" w:color="auto" w:fill="auto"/>
          </w:tcPr>
          <w:p w:rsidR="002A79AE" w:rsidRPr="008C5A1E" w:rsidRDefault="008C5A1E" w:rsidP="00AC6657">
            <w:pPr>
              <w:pStyle w:val="NoSpacing"/>
              <w:rPr>
                <w:rFonts w:ascii="Times New Roman" w:hAnsi="Times New Roman" w:cs="Times New Roman"/>
                <w:sz w:val="24"/>
                <w:szCs w:val="24"/>
              </w:rPr>
            </w:pPr>
            <w:r w:rsidRPr="008C5A1E">
              <w:rPr>
                <w:rFonts w:ascii="Times New Roman" w:hAnsi="Times New Roman" w:cs="Times New Roman"/>
                <w:sz w:val="24"/>
                <w:szCs w:val="24"/>
              </w:rPr>
              <w:t>Does this refer to a can</w:t>
            </w:r>
            <w:r>
              <w:rPr>
                <w:rFonts w:ascii="Times New Roman" w:hAnsi="Times New Roman" w:cs="Times New Roman"/>
                <w:sz w:val="24"/>
                <w:szCs w:val="24"/>
              </w:rPr>
              <w:t xml:space="preserve">didates overall GPA from their </w:t>
            </w:r>
            <w:r w:rsidRPr="008C5A1E">
              <w:rPr>
                <w:rFonts w:ascii="Times New Roman" w:hAnsi="Times New Roman" w:cs="Times New Roman"/>
                <w:sz w:val="24"/>
                <w:szCs w:val="24"/>
              </w:rPr>
              <w:t>undergrad degree? What if a candidate has 2 or 3 degrees already (additional bachelor’s degrees, grad and professional degrees), what courses are considered in this average? All of them, or just the most recent degree?</w:t>
            </w:r>
          </w:p>
        </w:tc>
        <w:tc>
          <w:tcPr>
            <w:tcW w:w="4675" w:type="dxa"/>
            <w:shd w:val="clear" w:color="auto" w:fill="auto"/>
          </w:tcPr>
          <w:p w:rsidR="002A79AE" w:rsidRPr="008C5A1E" w:rsidRDefault="00CC6282" w:rsidP="00AC385A">
            <w:pPr>
              <w:pStyle w:val="NoSpacing"/>
              <w:rPr>
                <w:rFonts w:ascii="Times New Roman" w:hAnsi="Times New Roman" w:cs="Times New Roman"/>
                <w:sz w:val="24"/>
              </w:rPr>
            </w:pPr>
            <w:r>
              <w:rPr>
                <w:rFonts w:ascii="Times New Roman" w:hAnsi="Times New Roman" w:cs="Times New Roman"/>
                <w:sz w:val="24"/>
              </w:rPr>
              <w:t xml:space="preserve">Added two sentences clarifying that these particulars vary significantly from institution to institution. </w:t>
            </w:r>
          </w:p>
        </w:tc>
      </w:tr>
      <w:tr w:rsidR="002A79AE" w:rsidRPr="00AC385A" w:rsidTr="008C5A1E">
        <w:tc>
          <w:tcPr>
            <w:tcW w:w="4675" w:type="dxa"/>
            <w:shd w:val="clear" w:color="auto" w:fill="auto"/>
          </w:tcPr>
          <w:p w:rsidR="002A79AE" w:rsidRPr="008C5A1E" w:rsidRDefault="008C5A1E" w:rsidP="00AC6657">
            <w:pPr>
              <w:pStyle w:val="NoSpacing"/>
              <w:rPr>
                <w:rFonts w:ascii="Times New Roman" w:hAnsi="Times New Roman" w:cs="Times New Roman"/>
                <w:sz w:val="24"/>
                <w:szCs w:val="24"/>
              </w:rPr>
            </w:pPr>
            <w:r w:rsidRPr="008C5A1E">
              <w:rPr>
                <w:rFonts w:ascii="Times New Roman" w:hAnsi="Times New Roman" w:cs="Times New Roman"/>
                <w:sz w:val="24"/>
                <w:szCs w:val="24"/>
              </w:rPr>
              <w:t>Does this mean mid-70s, mid 80s, or what? Not all readers will understand the grade letter scheme as it differs by jurisdiction and from one institution to the next.</w:t>
            </w:r>
          </w:p>
        </w:tc>
        <w:tc>
          <w:tcPr>
            <w:tcW w:w="4675" w:type="dxa"/>
            <w:shd w:val="clear" w:color="auto" w:fill="auto"/>
          </w:tcPr>
          <w:p w:rsidR="002A79AE" w:rsidRPr="008C5A1E" w:rsidRDefault="00AA2564" w:rsidP="006370D7">
            <w:pPr>
              <w:pStyle w:val="NoSpacing"/>
              <w:rPr>
                <w:rFonts w:ascii="Times New Roman" w:hAnsi="Times New Roman" w:cs="Times New Roman"/>
                <w:sz w:val="24"/>
              </w:rPr>
            </w:pPr>
            <w:r>
              <w:rPr>
                <w:rFonts w:ascii="Times New Roman" w:hAnsi="Times New Roman" w:cs="Times New Roman"/>
                <w:sz w:val="24"/>
              </w:rPr>
              <w:t>Corrected the consecutive average requirements and converted to use percentage scales consistently.</w:t>
            </w:r>
          </w:p>
        </w:tc>
      </w:tr>
      <w:tr w:rsidR="002A79AE" w:rsidRPr="00AC385A" w:rsidTr="008C5A1E">
        <w:tc>
          <w:tcPr>
            <w:tcW w:w="4675" w:type="dxa"/>
            <w:shd w:val="clear" w:color="auto" w:fill="auto"/>
          </w:tcPr>
          <w:p w:rsidR="002A79AE" w:rsidRPr="008C5A1E" w:rsidRDefault="008C5A1E" w:rsidP="00AC6657">
            <w:pPr>
              <w:pStyle w:val="NoSpacing"/>
              <w:rPr>
                <w:rFonts w:ascii="Times New Roman" w:hAnsi="Times New Roman" w:cs="Times New Roman"/>
                <w:sz w:val="24"/>
                <w:szCs w:val="24"/>
              </w:rPr>
            </w:pPr>
            <w:r w:rsidRPr="008C5A1E">
              <w:rPr>
                <w:rFonts w:ascii="Times New Roman" w:hAnsi="Times New Roman" w:cs="Times New Roman"/>
                <w:sz w:val="24"/>
                <w:szCs w:val="24"/>
              </w:rPr>
              <w:t xml:space="preserve">Since, in most cases, the concurrent degree is a applicants’ first degree, </w:t>
            </w:r>
            <w:r w:rsidRPr="008C5A1E">
              <w:rPr>
                <w:rStyle w:val="CommentReference"/>
                <w:rFonts w:ascii="Times New Roman" w:hAnsi="Times New Roman" w:cs="Times New Roman"/>
                <w:sz w:val="24"/>
                <w:szCs w:val="24"/>
              </w:rPr>
              <w:annotationRef/>
            </w:r>
            <w:r w:rsidRPr="008C5A1E">
              <w:rPr>
                <w:rFonts w:ascii="Times New Roman" w:hAnsi="Times New Roman" w:cs="Times New Roman"/>
                <w:sz w:val="24"/>
                <w:szCs w:val="24"/>
              </w:rPr>
              <w:t>is the average that is considered for admission based on high school average? Perhaps I am not understanding this correctly. Can you clarify?</w:t>
            </w:r>
          </w:p>
        </w:tc>
        <w:tc>
          <w:tcPr>
            <w:tcW w:w="4675" w:type="dxa"/>
            <w:shd w:val="clear" w:color="auto" w:fill="auto"/>
          </w:tcPr>
          <w:p w:rsidR="002A79AE" w:rsidRPr="008C5A1E" w:rsidRDefault="004F33C2" w:rsidP="00AC385A">
            <w:pPr>
              <w:pStyle w:val="NoSpacing"/>
              <w:rPr>
                <w:rFonts w:ascii="Times New Roman" w:hAnsi="Times New Roman" w:cs="Times New Roman"/>
                <w:sz w:val="24"/>
              </w:rPr>
            </w:pPr>
            <w:r>
              <w:rPr>
                <w:rFonts w:ascii="Times New Roman" w:hAnsi="Times New Roman" w:cs="Times New Roman"/>
                <w:sz w:val="24"/>
              </w:rPr>
              <w:t>This is correct. Added a sentence to clarify.</w:t>
            </w:r>
          </w:p>
        </w:tc>
      </w:tr>
      <w:tr w:rsidR="00360CEE" w:rsidRPr="00AC385A" w:rsidTr="00521938">
        <w:tc>
          <w:tcPr>
            <w:tcW w:w="4675" w:type="dxa"/>
          </w:tcPr>
          <w:p w:rsidR="00360CEE" w:rsidRDefault="00360CEE" w:rsidP="00AC6657">
            <w:pPr>
              <w:pStyle w:val="NoSpacing"/>
              <w:rPr>
                <w:rFonts w:ascii="Times New Roman" w:hAnsi="Times New Roman" w:cs="Times New Roman"/>
                <w:sz w:val="24"/>
              </w:rPr>
            </w:pPr>
            <w:r>
              <w:rPr>
                <w:rFonts w:ascii="Times New Roman" w:hAnsi="Times New Roman" w:cs="Times New Roman"/>
                <w:sz w:val="24"/>
              </w:rPr>
              <w:t>n/a</w:t>
            </w:r>
          </w:p>
        </w:tc>
        <w:tc>
          <w:tcPr>
            <w:tcW w:w="4675" w:type="dxa"/>
          </w:tcPr>
          <w:p w:rsidR="00360CEE" w:rsidRDefault="00360CEE" w:rsidP="00AC385A">
            <w:pPr>
              <w:pStyle w:val="NoSpacing"/>
              <w:rPr>
                <w:rFonts w:ascii="Times New Roman" w:hAnsi="Times New Roman" w:cs="Times New Roman"/>
                <w:sz w:val="24"/>
              </w:rPr>
            </w:pPr>
            <w:r>
              <w:rPr>
                <w:rFonts w:ascii="Times New Roman" w:hAnsi="Times New Roman" w:cs="Times New Roman"/>
                <w:sz w:val="24"/>
              </w:rPr>
              <w:t>Corrected an error in the list of Ontario’s three certification levels</w:t>
            </w:r>
          </w:p>
        </w:tc>
      </w:tr>
      <w:tr w:rsidR="002A79AE" w:rsidRPr="00AC385A" w:rsidTr="00521938">
        <w:tc>
          <w:tcPr>
            <w:tcW w:w="4675" w:type="dxa"/>
          </w:tcPr>
          <w:p w:rsidR="002A79AE" w:rsidRPr="001D00CC" w:rsidRDefault="001D00CC" w:rsidP="00AC6657">
            <w:pPr>
              <w:pStyle w:val="NoSpacing"/>
              <w:rPr>
                <w:rFonts w:ascii="Times New Roman" w:hAnsi="Times New Roman" w:cs="Times New Roman"/>
                <w:sz w:val="24"/>
                <w:u w:val="single"/>
              </w:rPr>
            </w:pPr>
            <w:r>
              <w:rPr>
                <w:rFonts w:ascii="Times New Roman" w:hAnsi="Times New Roman" w:cs="Times New Roman"/>
                <w:sz w:val="24"/>
              </w:rPr>
              <w:t xml:space="preserve">Tyndale </w:t>
            </w:r>
            <w:r>
              <w:rPr>
                <w:rFonts w:ascii="Times New Roman" w:hAnsi="Times New Roman" w:cs="Times New Roman"/>
                <w:sz w:val="24"/>
                <w:u w:val="single"/>
              </w:rPr>
              <w:t>University College</w:t>
            </w:r>
          </w:p>
        </w:tc>
        <w:tc>
          <w:tcPr>
            <w:tcW w:w="4675" w:type="dxa"/>
          </w:tcPr>
          <w:p w:rsidR="002A79AE" w:rsidRDefault="001D00CC" w:rsidP="00AC385A">
            <w:pPr>
              <w:pStyle w:val="NoSpacing"/>
              <w:rPr>
                <w:rFonts w:ascii="Times New Roman" w:hAnsi="Times New Roman" w:cs="Times New Roman"/>
                <w:sz w:val="24"/>
              </w:rPr>
            </w:pPr>
            <w:r>
              <w:rPr>
                <w:rFonts w:ascii="Times New Roman" w:hAnsi="Times New Roman" w:cs="Times New Roman"/>
                <w:sz w:val="24"/>
              </w:rPr>
              <w:t>Added.</w:t>
            </w:r>
          </w:p>
        </w:tc>
      </w:tr>
      <w:tr w:rsidR="00E92074" w:rsidRPr="00AC385A" w:rsidTr="00521938">
        <w:tc>
          <w:tcPr>
            <w:tcW w:w="4675" w:type="dxa"/>
          </w:tcPr>
          <w:p w:rsidR="00E92074" w:rsidRPr="006D5D5A" w:rsidRDefault="006D5D5A" w:rsidP="00AC6657">
            <w:pPr>
              <w:pStyle w:val="NoSpacing"/>
              <w:rPr>
                <w:rFonts w:ascii="Times New Roman" w:hAnsi="Times New Roman" w:cs="Times New Roman"/>
                <w:sz w:val="24"/>
              </w:rPr>
            </w:pPr>
            <w:r>
              <w:rPr>
                <w:rFonts w:ascii="Times New Roman" w:hAnsi="Times New Roman" w:cs="Times New Roman"/>
                <w:sz w:val="24"/>
              </w:rPr>
              <w:lastRenderedPageBreak/>
              <w:t>…</w:t>
            </w:r>
            <w:r w:rsidRPr="006D5D5A">
              <w:rPr>
                <w:rFonts w:ascii="Times New Roman" w:hAnsi="Times New Roman" w:cs="Times New Roman"/>
                <w:strike/>
                <w:sz w:val="24"/>
              </w:rPr>
              <w:t>but</w:t>
            </w:r>
            <w:r>
              <w:rPr>
                <w:rFonts w:ascii="Times New Roman" w:hAnsi="Times New Roman" w:cs="Times New Roman"/>
                <w:sz w:val="24"/>
                <w:u w:val="single"/>
              </w:rPr>
              <w:t xml:space="preserve"> however Nipissing </w:t>
            </w:r>
            <w:r>
              <w:rPr>
                <w:rFonts w:ascii="Times New Roman" w:hAnsi="Times New Roman" w:cs="Times New Roman"/>
                <w:sz w:val="24"/>
              </w:rPr>
              <w:t xml:space="preserve">is, to our knowledge, the only </w:t>
            </w:r>
            <w:r w:rsidRPr="006D5D5A">
              <w:rPr>
                <w:rFonts w:ascii="Times New Roman" w:hAnsi="Times New Roman" w:cs="Times New Roman"/>
                <w:strike/>
                <w:sz w:val="24"/>
              </w:rPr>
              <w:t>such requirement in an</w:t>
            </w:r>
            <w:r>
              <w:rPr>
                <w:rFonts w:ascii="Times New Roman" w:hAnsi="Times New Roman" w:cs="Times New Roman"/>
                <w:sz w:val="24"/>
              </w:rPr>
              <w:t xml:space="preserve"> Ontario </w:t>
            </w:r>
            <w:r>
              <w:rPr>
                <w:rFonts w:ascii="Times New Roman" w:hAnsi="Times New Roman" w:cs="Times New Roman"/>
                <w:sz w:val="24"/>
                <w:u w:val="single"/>
              </w:rPr>
              <w:t xml:space="preserve">institution to have such a requirement for an </w:t>
            </w:r>
            <w:r>
              <w:rPr>
                <w:rFonts w:ascii="Times New Roman" w:hAnsi="Times New Roman" w:cs="Times New Roman"/>
                <w:sz w:val="24"/>
              </w:rPr>
              <w:t>Aboriginal education program.</w:t>
            </w:r>
          </w:p>
        </w:tc>
        <w:tc>
          <w:tcPr>
            <w:tcW w:w="4675" w:type="dxa"/>
          </w:tcPr>
          <w:p w:rsidR="00E92074" w:rsidRDefault="006D5D5A" w:rsidP="00AC385A">
            <w:pPr>
              <w:pStyle w:val="NoSpacing"/>
              <w:rPr>
                <w:rFonts w:ascii="Times New Roman" w:hAnsi="Times New Roman" w:cs="Times New Roman"/>
                <w:sz w:val="24"/>
              </w:rPr>
            </w:pPr>
            <w:r>
              <w:rPr>
                <w:rFonts w:ascii="Times New Roman" w:hAnsi="Times New Roman" w:cs="Times New Roman"/>
                <w:sz w:val="24"/>
              </w:rPr>
              <w:t>Changed.</w:t>
            </w:r>
          </w:p>
        </w:tc>
      </w:tr>
      <w:tr w:rsidR="00E92074" w:rsidRPr="00AC385A" w:rsidTr="00521938">
        <w:tc>
          <w:tcPr>
            <w:tcW w:w="4675" w:type="dxa"/>
          </w:tcPr>
          <w:p w:rsidR="00E92074" w:rsidRDefault="006D5D5A" w:rsidP="00AC6657">
            <w:pPr>
              <w:pStyle w:val="NoSpacing"/>
              <w:rPr>
                <w:rFonts w:ascii="Times New Roman" w:hAnsi="Times New Roman" w:cs="Times New Roman"/>
                <w:sz w:val="24"/>
              </w:rPr>
            </w:pPr>
            <w:r w:rsidRPr="006D5D5A">
              <w:rPr>
                <w:rFonts w:ascii="Times New Roman" w:hAnsi="Times New Roman" w:cs="Times New Roman"/>
                <w:strike/>
                <w:sz w:val="24"/>
              </w:rPr>
              <w:t>In that</w:t>
            </w:r>
            <w:r>
              <w:rPr>
                <w:rFonts w:ascii="Times New Roman" w:hAnsi="Times New Roman" w:cs="Times New Roman"/>
                <w:sz w:val="24"/>
              </w:rPr>
              <w:t xml:space="preserve"> </w:t>
            </w:r>
            <w:r w:rsidRPr="006D5D5A">
              <w:rPr>
                <w:rFonts w:ascii="Times New Roman" w:hAnsi="Times New Roman" w:cs="Times New Roman"/>
                <w:sz w:val="24"/>
                <w:u w:val="single"/>
              </w:rPr>
              <w:t>as</w:t>
            </w:r>
          </w:p>
        </w:tc>
        <w:tc>
          <w:tcPr>
            <w:tcW w:w="4675" w:type="dxa"/>
          </w:tcPr>
          <w:p w:rsidR="00E92074" w:rsidRDefault="006D5D5A" w:rsidP="00AC385A">
            <w:pPr>
              <w:pStyle w:val="NoSpacing"/>
              <w:rPr>
                <w:rFonts w:ascii="Times New Roman" w:hAnsi="Times New Roman" w:cs="Times New Roman"/>
                <w:sz w:val="24"/>
              </w:rPr>
            </w:pPr>
            <w:r>
              <w:rPr>
                <w:rFonts w:ascii="Times New Roman" w:hAnsi="Times New Roman" w:cs="Times New Roman"/>
                <w:sz w:val="24"/>
              </w:rPr>
              <w:t>Changed.</w:t>
            </w:r>
          </w:p>
        </w:tc>
      </w:tr>
      <w:tr w:rsidR="00230354" w:rsidRPr="00AC385A" w:rsidTr="005F2C64">
        <w:tc>
          <w:tcPr>
            <w:tcW w:w="9350" w:type="dxa"/>
            <w:gridSpan w:val="2"/>
          </w:tcPr>
          <w:p w:rsidR="00230354" w:rsidRPr="00230354" w:rsidRDefault="00230354" w:rsidP="00230354">
            <w:pPr>
              <w:pStyle w:val="NoSpacing"/>
              <w:jc w:val="center"/>
              <w:rPr>
                <w:rFonts w:ascii="Times New Roman" w:hAnsi="Times New Roman" w:cs="Times New Roman"/>
                <w:b/>
                <w:sz w:val="24"/>
              </w:rPr>
            </w:pPr>
            <w:r>
              <w:rPr>
                <w:rFonts w:ascii="Times New Roman" w:hAnsi="Times New Roman" w:cs="Times New Roman"/>
                <w:b/>
                <w:sz w:val="24"/>
              </w:rPr>
              <w:t>Overall Comments</w:t>
            </w:r>
          </w:p>
        </w:tc>
      </w:tr>
      <w:tr w:rsidR="00E92074" w:rsidRPr="00AC385A" w:rsidTr="00521938">
        <w:tc>
          <w:tcPr>
            <w:tcW w:w="4675" w:type="dxa"/>
          </w:tcPr>
          <w:p w:rsidR="00E92074" w:rsidRDefault="009B482F" w:rsidP="00935427">
            <w:pPr>
              <w:pStyle w:val="NoSpacing"/>
              <w:rPr>
                <w:rFonts w:ascii="Times New Roman" w:hAnsi="Times New Roman" w:cs="Times New Roman"/>
                <w:sz w:val="24"/>
              </w:rPr>
            </w:pPr>
            <w:r w:rsidRPr="009B482F">
              <w:rPr>
                <w:rFonts w:ascii="Times New Roman" w:hAnsi="Times New Roman" w:cs="Times New Roman"/>
                <w:sz w:val="24"/>
              </w:rPr>
              <w:t>This study would</w:t>
            </w:r>
            <w:r>
              <w:rPr>
                <w:rFonts w:ascii="Times New Roman" w:hAnsi="Times New Roman" w:cs="Times New Roman"/>
                <w:sz w:val="24"/>
              </w:rPr>
              <w:t xml:space="preserve"> </w:t>
            </w:r>
            <w:r w:rsidRPr="009B482F">
              <w:rPr>
                <w:rFonts w:ascii="Times New Roman" w:hAnsi="Times New Roman" w:cs="Times New Roman"/>
                <w:sz w:val="24"/>
              </w:rPr>
              <w:t>have been strengthened by an examination of the reasons why particular</w:t>
            </w:r>
            <w:r>
              <w:rPr>
                <w:rFonts w:ascii="Times New Roman" w:hAnsi="Times New Roman" w:cs="Times New Roman"/>
                <w:sz w:val="24"/>
              </w:rPr>
              <w:t xml:space="preserve"> </w:t>
            </w:r>
            <w:r w:rsidRPr="009B482F">
              <w:rPr>
                <w:rFonts w:ascii="Times New Roman" w:hAnsi="Times New Roman" w:cs="Times New Roman"/>
                <w:sz w:val="24"/>
              </w:rPr>
              <w:t>programs use particular admissions criteria. What value do faculty and</w:t>
            </w:r>
            <w:r>
              <w:rPr>
                <w:rFonts w:ascii="Times New Roman" w:hAnsi="Times New Roman" w:cs="Times New Roman"/>
                <w:sz w:val="24"/>
              </w:rPr>
              <w:t xml:space="preserve"> </w:t>
            </w:r>
            <w:r w:rsidRPr="009B482F">
              <w:rPr>
                <w:rFonts w:ascii="Times New Roman" w:hAnsi="Times New Roman" w:cs="Times New Roman"/>
                <w:sz w:val="24"/>
              </w:rPr>
              <w:t>admissions committees pla</w:t>
            </w:r>
            <w:r>
              <w:rPr>
                <w:rFonts w:ascii="Times New Roman" w:hAnsi="Times New Roman" w:cs="Times New Roman"/>
                <w:sz w:val="24"/>
              </w:rPr>
              <w:t>c</w:t>
            </w:r>
            <w:r w:rsidRPr="009B482F">
              <w:rPr>
                <w:rFonts w:ascii="Times New Roman" w:hAnsi="Times New Roman" w:cs="Times New Roman"/>
                <w:sz w:val="24"/>
              </w:rPr>
              <w:t>e on written statements as compared with</w:t>
            </w:r>
            <w:r>
              <w:rPr>
                <w:rFonts w:ascii="Times New Roman" w:hAnsi="Times New Roman" w:cs="Times New Roman"/>
                <w:sz w:val="24"/>
              </w:rPr>
              <w:t xml:space="preserve"> </w:t>
            </w:r>
            <w:r w:rsidRPr="009B482F">
              <w:rPr>
                <w:rFonts w:ascii="Times New Roman" w:hAnsi="Times New Roman" w:cs="Times New Roman"/>
                <w:sz w:val="24"/>
              </w:rPr>
              <w:t xml:space="preserve">references, interviews, etc.  </w:t>
            </w:r>
            <w:r>
              <w:rPr>
                <w:rFonts w:ascii="Times New Roman" w:hAnsi="Times New Roman" w:cs="Times New Roman"/>
                <w:sz w:val="24"/>
              </w:rPr>
              <w:t>R</w:t>
            </w:r>
            <w:r w:rsidRPr="009B482F">
              <w:rPr>
                <w:rFonts w:ascii="Times New Roman" w:hAnsi="Times New Roman" w:cs="Times New Roman"/>
                <w:sz w:val="24"/>
              </w:rPr>
              <w:t>ather than just assuming the reasons why</w:t>
            </w:r>
            <w:r>
              <w:rPr>
                <w:rFonts w:ascii="Times New Roman" w:hAnsi="Times New Roman" w:cs="Times New Roman"/>
                <w:sz w:val="24"/>
              </w:rPr>
              <w:t xml:space="preserve"> </w:t>
            </w:r>
            <w:r w:rsidRPr="009B482F">
              <w:rPr>
                <w:rFonts w:ascii="Times New Roman" w:hAnsi="Times New Roman" w:cs="Times New Roman"/>
                <w:sz w:val="24"/>
              </w:rPr>
              <w:t>particular criteria are used as opposed to others (e.g. cost effectiveness,</w:t>
            </w:r>
            <w:r>
              <w:rPr>
                <w:rFonts w:ascii="Times New Roman" w:hAnsi="Times New Roman" w:cs="Times New Roman"/>
                <w:sz w:val="24"/>
              </w:rPr>
              <w:t xml:space="preserve"> </w:t>
            </w:r>
            <w:r w:rsidRPr="009B482F">
              <w:rPr>
                <w:rFonts w:ascii="Times New Roman" w:hAnsi="Times New Roman" w:cs="Times New Roman"/>
                <w:sz w:val="24"/>
              </w:rPr>
              <w:t>objectiveness, time required, etc.), it would have been valuable to ask the</w:t>
            </w:r>
            <w:r>
              <w:rPr>
                <w:rFonts w:ascii="Times New Roman" w:hAnsi="Times New Roman" w:cs="Times New Roman"/>
                <w:sz w:val="24"/>
              </w:rPr>
              <w:t xml:space="preserve"> </w:t>
            </w:r>
            <w:r w:rsidRPr="009B482F">
              <w:rPr>
                <w:rFonts w:ascii="Times New Roman" w:hAnsi="Times New Roman" w:cs="Times New Roman"/>
                <w:sz w:val="24"/>
              </w:rPr>
              <w:t>program representatives about their reasons, motivations etc. Since the</w:t>
            </w:r>
            <w:r>
              <w:rPr>
                <w:rFonts w:ascii="Times New Roman" w:hAnsi="Times New Roman" w:cs="Times New Roman"/>
                <w:sz w:val="24"/>
              </w:rPr>
              <w:t xml:space="preserve"> </w:t>
            </w:r>
            <w:r w:rsidRPr="009B482F">
              <w:rPr>
                <w:rFonts w:ascii="Times New Roman" w:hAnsi="Times New Roman" w:cs="Times New Roman"/>
                <w:sz w:val="24"/>
              </w:rPr>
              <w:t>researc</w:t>
            </w:r>
            <w:r>
              <w:rPr>
                <w:rFonts w:ascii="Times New Roman" w:hAnsi="Times New Roman" w:cs="Times New Roman"/>
                <w:sz w:val="24"/>
              </w:rPr>
              <w:t>hers were already sending these r</w:t>
            </w:r>
            <w:r w:rsidRPr="009B482F">
              <w:rPr>
                <w:rFonts w:ascii="Times New Roman" w:hAnsi="Times New Roman" w:cs="Times New Roman"/>
                <w:sz w:val="24"/>
              </w:rPr>
              <w:t>epresentatives questionnaires, and</w:t>
            </w:r>
            <w:r>
              <w:rPr>
                <w:rFonts w:ascii="Times New Roman" w:hAnsi="Times New Roman" w:cs="Times New Roman"/>
                <w:sz w:val="24"/>
              </w:rPr>
              <w:t xml:space="preserve"> </w:t>
            </w:r>
            <w:r w:rsidRPr="009B482F">
              <w:rPr>
                <w:rFonts w:ascii="Times New Roman" w:hAnsi="Times New Roman" w:cs="Times New Roman"/>
                <w:sz w:val="24"/>
              </w:rPr>
              <w:t>following up in conversation, the addition of these sorts of questions was</w:t>
            </w:r>
            <w:r>
              <w:rPr>
                <w:rFonts w:ascii="Times New Roman" w:hAnsi="Times New Roman" w:cs="Times New Roman"/>
                <w:sz w:val="24"/>
              </w:rPr>
              <w:t xml:space="preserve"> </w:t>
            </w:r>
            <w:r w:rsidRPr="009B482F">
              <w:rPr>
                <w:rFonts w:ascii="Times New Roman" w:hAnsi="Times New Roman" w:cs="Times New Roman"/>
                <w:sz w:val="24"/>
              </w:rPr>
              <w:t xml:space="preserve">perhaps feasible. </w:t>
            </w:r>
          </w:p>
        </w:tc>
        <w:tc>
          <w:tcPr>
            <w:tcW w:w="4675" w:type="dxa"/>
          </w:tcPr>
          <w:p w:rsidR="002A0F34" w:rsidRDefault="000E2E85" w:rsidP="000106F6">
            <w:pPr>
              <w:pStyle w:val="NoSpacing"/>
              <w:rPr>
                <w:rFonts w:ascii="Times New Roman" w:hAnsi="Times New Roman" w:cs="Times New Roman"/>
                <w:sz w:val="24"/>
              </w:rPr>
            </w:pPr>
            <w:r>
              <w:rPr>
                <w:rFonts w:ascii="Times New Roman" w:hAnsi="Times New Roman" w:cs="Times New Roman"/>
                <w:sz w:val="24"/>
              </w:rPr>
              <w:t xml:space="preserve">This is useful feedback and </w:t>
            </w:r>
            <w:r w:rsidR="00935427">
              <w:rPr>
                <w:rFonts w:ascii="Times New Roman" w:hAnsi="Times New Roman" w:cs="Times New Roman"/>
                <w:sz w:val="24"/>
              </w:rPr>
              <w:t xml:space="preserve">is an important </w:t>
            </w:r>
            <w:r>
              <w:rPr>
                <w:rFonts w:ascii="Times New Roman" w:hAnsi="Times New Roman" w:cs="Times New Roman"/>
                <w:sz w:val="24"/>
              </w:rPr>
              <w:t xml:space="preserve">area to explore in further research with Ontario’s </w:t>
            </w:r>
            <w:r w:rsidR="002C33E8">
              <w:rPr>
                <w:rFonts w:ascii="Times New Roman" w:hAnsi="Times New Roman" w:cs="Times New Roman"/>
                <w:sz w:val="24"/>
              </w:rPr>
              <w:t xml:space="preserve">teacher education </w:t>
            </w:r>
            <w:r>
              <w:rPr>
                <w:rFonts w:ascii="Times New Roman" w:hAnsi="Times New Roman" w:cs="Times New Roman"/>
                <w:sz w:val="24"/>
              </w:rPr>
              <w:t xml:space="preserve">programs. </w:t>
            </w:r>
          </w:p>
          <w:p w:rsidR="002A0F34" w:rsidRDefault="002A0F34" w:rsidP="000106F6">
            <w:pPr>
              <w:pStyle w:val="NoSpacing"/>
              <w:rPr>
                <w:rFonts w:ascii="Times New Roman" w:hAnsi="Times New Roman" w:cs="Times New Roman"/>
                <w:sz w:val="24"/>
              </w:rPr>
            </w:pPr>
          </w:p>
          <w:p w:rsidR="00E72013" w:rsidRDefault="00E72013" w:rsidP="00E72013">
            <w:pPr>
              <w:pStyle w:val="NoSpacing"/>
              <w:rPr>
                <w:rFonts w:ascii="Times New Roman" w:hAnsi="Times New Roman" w:cs="Times New Roman"/>
                <w:sz w:val="24"/>
              </w:rPr>
            </w:pPr>
            <w:r>
              <w:rPr>
                <w:rFonts w:ascii="Times New Roman" w:hAnsi="Times New Roman" w:cs="Times New Roman"/>
                <w:sz w:val="24"/>
              </w:rPr>
              <w:t>T</w:t>
            </w:r>
            <w:r w:rsidR="000E2E85">
              <w:rPr>
                <w:rFonts w:ascii="Times New Roman" w:hAnsi="Times New Roman" w:cs="Times New Roman"/>
                <w:sz w:val="24"/>
              </w:rPr>
              <w:t xml:space="preserve">he </w:t>
            </w:r>
            <w:r w:rsidR="00E06532">
              <w:rPr>
                <w:rFonts w:ascii="Times New Roman" w:hAnsi="Times New Roman" w:cs="Times New Roman"/>
                <w:sz w:val="24"/>
              </w:rPr>
              <w:t xml:space="preserve">purpose of this study was to identify the admissions practices of Ontario’s teacher education programs during the transition to the four-semester structure, </w:t>
            </w:r>
            <w:r w:rsidR="002A0F34">
              <w:rPr>
                <w:rFonts w:ascii="Times New Roman" w:hAnsi="Times New Roman" w:cs="Times New Roman"/>
                <w:sz w:val="24"/>
              </w:rPr>
              <w:t xml:space="preserve">and </w:t>
            </w:r>
            <w:r>
              <w:rPr>
                <w:rFonts w:ascii="Times New Roman" w:hAnsi="Times New Roman" w:cs="Times New Roman"/>
                <w:sz w:val="24"/>
              </w:rPr>
              <w:t xml:space="preserve">to </w:t>
            </w:r>
            <w:r w:rsidR="002A0F34">
              <w:rPr>
                <w:rFonts w:ascii="Times New Roman" w:hAnsi="Times New Roman" w:cs="Times New Roman"/>
                <w:sz w:val="24"/>
              </w:rPr>
              <w:t>provide Ontario’s teacher educators with access to</w:t>
            </w:r>
            <w:r w:rsidR="00884A32">
              <w:rPr>
                <w:rFonts w:ascii="Times New Roman" w:hAnsi="Times New Roman" w:cs="Times New Roman"/>
                <w:sz w:val="24"/>
              </w:rPr>
              <w:t xml:space="preserve"> descriptive</w:t>
            </w:r>
            <w:r w:rsidR="002A0F34">
              <w:rPr>
                <w:rFonts w:ascii="Times New Roman" w:hAnsi="Times New Roman" w:cs="Times New Roman"/>
                <w:sz w:val="24"/>
              </w:rPr>
              <w:t xml:space="preserve"> data that is otherwise not clearly or consistently presented.</w:t>
            </w:r>
            <w:r w:rsidR="00876FB5">
              <w:rPr>
                <w:rFonts w:ascii="Times New Roman" w:hAnsi="Times New Roman" w:cs="Times New Roman"/>
                <w:sz w:val="24"/>
              </w:rPr>
              <w:t xml:space="preserve"> </w:t>
            </w:r>
          </w:p>
          <w:p w:rsidR="00D03DB2" w:rsidRDefault="00D03DB2" w:rsidP="002C33E8">
            <w:pPr>
              <w:pStyle w:val="NoSpacing"/>
              <w:rPr>
                <w:rFonts w:ascii="Times New Roman" w:hAnsi="Times New Roman" w:cs="Times New Roman"/>
                <w:sz w:val="24"/>
              </w:rPr>
            </w:pPr>
          </w:p>
          <w:p w:rsidR="001E4AB8" w:rsidRPr="00360CEE" w:rsidRDefault="001E4AB8" w:rsidP="002C33E8">
            <w:pPr>
              <w:pStyle w:val="NoSpacing"/>
              <w:rPr>
                <w:rFonts w:ascii="Times New Roman" w:hAnsi="Times New Roman" w:cs="Times New Roman"/>
                <w:sz w:val="24"/>
              </w:rPr>
            </w:pPr>
            <w:r>
              <w:rPr>
                <w:rFonts w:ascii="Times New Roman" w:hAnsi="Times New Roman" w:cs="Times New Roman"/>
                <w:sz w:val="24"/>
              </w:rPr>
              <w:t>We believe that critically examining w</w:t>
            </w:r>
            <w:r w:rsidR="002C33E8">
              <w:rPr>
                <w:rFonts w:ascii="Times New Roman" w:hAnsi="Times New Roman" w:cs="Times New Roman"/>
                <w:sz w:val="24"/>
              </w:rPr>
              <w:t>hy particular tools are used is a valuable discussion</w:t>
            </w:r>
            <w:r>
              <w:rPr>
                <w:rFonts w:ascii="Times New Roman" w:hAnsi="Times New Roman" w:cs="Times New Roman"/>
                <w:sz w:val="24"/>
              </w:rPr>
              <w:t xml:space="preserve">, but one that requires </w:t>
            </w:r>
            <w:r w:rsidR="00F268B2">
              <w:rPr>
                <w:rFonts w:ascii="Times New Roman" w:hAnsi="Times New Roman" w:cs="Times New Roman"/>
                <w:sz w:val="24"/>
              </w:rPr>
              <w:t xml:space="preserve">a strengthening of trust and collaboration across Ontario’s teacher education programs. </w:t>
            </w:r>
            <w:r w:rsidR="00964CA1">
              <w:rPr>
                <w:rFonts w:ascii="Times New Roman" w:hAnsi="Times New Roman" w:cs="Times New Roman"/>
                <w:sz w:val="24"/>
              </w:rPr>
              <w:t xml:space="preserve">An in-depth investigation of this question was therefore not feasible </w:t>
            </w:r>
            <w:r w:rsidR="00553DE1">
              <w:rPr>
                <w:rFonts w:ascii="Times New Roman" w:hAnsi="Times New Roman" w:cs="Times New Roman"/>
                <w:sz w:val="24"/>
              </w:rPr>
              <w:t xml:space="preserve">for the scope of the </w:t>
            </w:r>
            <w:r w:rsidR="006E0D86">
              <w:rPr>
                <w:rFonts w:ascii="Times New Roman" w:hAnsi="Times New Roman" w:cs="Times New Roman"/>
                <w:sz w:val="24"/>
              </w:rPr>
              <w:t xml:space="preserve">present </w:t>
            </w:r>
            <w:r w:rsidR="00553DE1">
              <w:rPr>
                <w:rFonts w:ascii="Times New Roman" w:hAnsi="Times New Roman" w:cs="Times New Roman"/>
                <w:sz w:val="24"/>
              </w:rPr>
              <w:t>study.</w:t>
            </w:r>
            <w:bookmarkStart w:id="0" w:name="_GoBack"/>
            <w:bookmarkEnd w:id="0"/>
          </w:p>
        </w:tc>
      </w:tr>
      <w:tr w:rsidR="009B482F" w:rsidRPr="00AC385A" w:rsidTr="00521938">
        <w:tc>
          <w:tcPr>
            <w:tcW w:w="4675" w:type="dxa"/>
          </w:tcPr>
          <w:p w:rsidR="009B482F" w:rsidRPr="00230354" w:rsidRDefault="00230354" w:rsidP="00230354">
            <w:pPr>
              <w:pStyle w:val="NoSpacing"/>
              <w:rPr>
                <w:rFonts w:ascii="Times New Roman" w:hAnsi="Times New Roman" w:cs="Times New Roman"/>
                <w:sz w:val="24"/>
              </w:rPr>
            </w:pPr>
            <w:r w:rsidRPr="00230354">
              <w:rPr>
                <w:rFonts w:ascii="Times New Roman" w:hAnsi="Times New Roman" w:cs="Times New Roman"/>
                <w:sz w:val="24"/>
                <w:szCs w:val="20"/>
              </w:rPr>
              <w:t>Review your use of the abbreviation “c.f.” within parenthetical</w:t>
            </w:r>
            <w:r w:rsidRPr="00230354">
              <w:rPr>
                <w:rFonts w:ascii="Times New Roman" w:hAnsi="Times New Roman" w:cs="Times New Roman"/>
                <w:sz w:val="24"/>
                <w:szCs w:val="20"/>
              </w:rPr>
              <w:t xml:space="preserve"> </w:t>
            </w:r>
            <w:r w:rsidRPr="00230354">
              <w:rPr>
                <w:rFonts w:ascii="Times New Roman" w:hAnsi="Times New Roman" w:cs="Times New Roman"/>
                <w:sz w:val="24"/>
                <w:szCs w:val="20"/>
              </w:rPr>
              <w:t>citations. Consult APA rules and the me</w:t>
            </w:r>
            <w:r w:rsidRPr="00230354">
              <w:rPr>
                <w:rFonts w:ascii="Times New Roman" w:hAnsi="Times New Roman" w:cs="Times New Roman"/>
                <w:sz w:val="24"/>
                <w:szCs w:val="20"/>
              </w:rPr>
              <w:t>anings of the abbreviation, and c</w:t>
            </w:r>
            <w:r w:rsidRPr="00230354">
              <w:rPr>
                <w:rFonts w:ascii="Times New Roman" w:hAnsi="Times New Roman" w:cs="Times New Roman"/>
                <w:sz w:val="24"/>
                <w:szCs w:val="20"/>
              </w:rPr>
              <w:t>onsider “e.g.”, “see”, and “see also” as replacements for some</w:t>
            </w:r>
            <w:r w:rsidRPr="00230354">
              <w:rPr>
                <w:rFonts w:ascii="Times New Roman" w:hAnsi="Times New Roman" w:cs="Times New Roman"/>
                <w:sz w:val="24"/>
                <w:szCs w:val="20"/>
              </w:rPr>
              <w:br/>
              <w:t>of your c.f.’s.</w:t>
            </w:r>
          </w:p>
        </w:tc>
        <w:tc>
          <w:tcPr>
            <w:tcW w:w="4675" w:type="dxa"/>
          </w:tcPr>
          <w:p w:rsidR="009B482F" w:rsidRDefault="005D6D55" w:rsidP="00EA150E">
            <w:pPr>
              <w:pStyle w:val="NoSpacing"/>
              <w:rPr>
                <w:rFonts w:ascii="Times New Roman" w:hAnsi="Times New Roman" w:cs="Times New Roman"/>
                <w:sz w:val="24"/>
              </w:rPr>
            </w:pPr>
            <w:r>
              <w:rPr>
                <w:rFonts w:ascii="Times New Roman" w:hAnsi="Times New Roman" w:cs="Times New Roman"/>
                <w:sz w:val="24"/>
              </w:rPr>
              <w:t xml:space="preserve">Changed </w:t>
            </w:r>
            <w:r w:rsidR="00EA150E">
              <w:rPr>
                <w:rFonts w:ascii="Times New Roman" w:hAnsi="Times New Roman" w:cs="Times New Roman"/>
                <w:sz w:val="24"/>
              </w:rPr>
              <w:t>– see in-text comment about cf.’s above.</w:t>
            </w:r>
          </w:p>
        </w:tc>
      </w:tr>
      <w:tr w:rsidR="009B482F" w:rsidRPr="00AC385A" w:rsidTr="00521938">
        <w:tc>
          <w:tcPr>
            <w:tcW w:w="4675" w:type="dxa"/>
          </w:tcPr>
          <w:p w:rsidR="009B482F" w:rsidRPr="007B549A" w:rsidRDefault="007B549A" w:rsidP="007B549A">
            <w:pPr>
              <w:pStyle w:val="NoSpacing"/>
              <w:jc w:val="both"/>
              <w:rPr>
                <w:rFonts w:ascii="Times New Roman" w:hAnsi="Times New Roman" w:cs="Times New Roman"/>
                <w:sz w:val="24"/>
              </w:rPr>
            </w:pPr>
            <w:r w:rsidRPr="007B549A">
              <w:rPr>
                <w:rFonts w:ascii="Times New Roman" w:hAnsi="Times New Roman" w:cs="Times New Roman"/>
                <w:sz w:val="24"/>
                <w:szCs w:val="20"/>
              </w:rPr>
              <w:t>I think readers would benefit from a little more explanation of academic</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averages. American literature refer</w:t>
            </w:r>
            <w:r w:rsidRPr="007B549A">
              <w:rPr>
                <w:rFonts w:ascii="Times New Roman" w:hAnsi="Times New Roman" w:cs="Times New Roman"/>
                <w:sz w:val="24"/>
                <w:szCs w:val="20"/>
              </w:rPr>
              <w:t>s to GPA, and usually specifies u</w:t>
            </w:r>
            <w:r w:rsidRPr="007B549A">
              <w:rPr>
                <w:rFonts w:ascii="Times New Roman" w:hAnsi="Times New Roman" w:cs="Times New Roman"/>
                <w:sz w:val="24"/>
                <w:szCs w:val="20"/>
              </w:rPr>
              <w:t>ndergraduate GPA, or high school GPA, which are both understood terms. I</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know that GPA is not as common a term in the Canadian context, and</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 xml:space="preserve">“academic average” is likely the </w:t>
            </w:r>
            <w:r w:rsidRPr="007B549A">
              <w:rPr>
                <w:rFonts w:ascii="Times New Roman" w:hAnsi="Times New Roman" w:cs="Times New Roman"/>
                <w:sz w:val="24"/>
                <w:szCs w:val="20"/>
              </w:rPr>
              <w:lastRenderedPageBreak/>
              <w:t>best term to use, however I feel that</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the reader is left wondering exactly what is being averaged in these</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calculations. Do all institutions average the same thing? Is it always the</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entirety of one’s undergraduate credits that are averag</w:t>
            </w:r>
            <w:r w:rsidRPr="007B549A">
              <w:rPr>
                <w:rFonts w:ascii="Times New Roman" w:hAnsi="Times New Roman" w:cs="Times New Roman"/>
                <w:sz w:val="24"/>
                <w:szCs w:val="20"/>
              </w:rPr>
              <w:t>e</w:t>
            </w:r>
            <w:r w:rsidRPr="007B549A">
              <w:rPr>
                <w:rFonts w:ascii="Times New Roman" w:hAnsi="Times New Roman" w:cs="Times New Roman"/>
                <w:sz w:val="24"/>
                <w:szCs w:val="20"/>
              </w:rPr>
              <w:t>d, or do some</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institutions only average the last X credits that a student completed? What</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if a student has already completed a Masters or PhD program, do these</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credits get included in the average? What about the case of concurrent</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degree applicants? Is it high school marks that are averaged? There are</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enough unanswered questions that the reader is left with here to warrant</w:t>
            </w:r>
            <w:r w:rsidRPr="007B549A">
              <w:rPr>
                <w:rFonts w:ascii="Times New Roman" w:hAnsi="Times New Roman" w:cs="Times New Roman"/>
                <w:sz w:val="24"/>
                <w:szCs w:val="20"/>
              </w:rPr>
              <w:t xml:space="preserve"> </w:t>
            </w:r>
            <w:r w:rsidRPr="007B549A">
              <w:rPr>
                <w:rFonts w:ascii="Times New Roman" w:hAnsi="Times New Roman" w:cs="Times New Roman"/>
                <w:sz w:val="24"/>
                <w:szCs w:val="20"/>
              </w:rPr>
              <w:t>some clarifying discussion in the manuscript.</w:t>
            </w:r>
          </w:p>
        </w:tc>
        <w:tc>
          <w:tcPr>
            <w:tcW w:w="4675" w:type="dxa"/>
          </w:tcPr>
          <w:p w:rsidR="00241524" w:rsidRDefault="00207B17" w:rsidP="00AC385A">
            <w:pPr>
              <w:pStyle w:val="NoSpacing"/>
              <w:rPr>
                <w:rFonts w:ascii="Times New Roman" w:hAnsi="Times New Roman" w:cs="Times New Roman"/>
                <w:sz w:val="24"/>
              </w:rPr>
            </w:pPr>
            <w:r>
              <w:rPr>
                <w:rFonts w:ascii="Times New Roman" w:hAnsi="Times New Roman" w:cs="Times New Roman"/>
                <w:sz w:val="24"/>
              </w:rPr>
              <w:lastRenderedPageBreak/>
              <w:t xml:space="preserve">Clarified (as noted above) that each institution calculates the academic average using unique criteria. </w:t>
            </w:r>
            <w:r w:rsidR="00241524">
              <w:rPr>
                <w:rFonts w:ascii="Times New Roman" w:hAnsi="Times New Roman" w:cs="Times New Roman"/>
                <w:sz w:val="24"/>
              </w:rPr>
              <w:t xml:space="preserve">Also clarified that academic averages are also referred to as GPAs, and clarified that concurrent averages tend to be based on students’ high school averages. </w:t>
            </w:r>
          </w:p>
          <w:p w:rsidR="00241524" w:rsidRDefault="00241524" w:rsidP="00AC385A">
            <w:pPr>
              <w:pStyle w:val="NoSpacing"/>
              <w:rPr>
                <w:rFonts w:ascii="Times New Roman" w:hAnsi="Times New Roman" w:cs="Times New Roman"/>
                <w:sz w:val="24"/>
              </w:rPr>
            </w:pPr>
          </w:p>
          <w:p w:rsidR="009B482F" w:rsidRDefault="00241524" w:rsidP="00AC385A">
            <w:pPr>
              <w:pStyle w:val="NoSpacing"/>
              <w:rPr>
                <w:rFonts w:ascii="Times New Roman" w:hAnsi="Times New Roman" w:cs="Times New Roman"/>
                <w:sz w:val="24"/>
              </w:rPr>
            </w:pPr>
            <w:r>
              <w:rPr>
                <w:rFonts w:ascii="Times New Roman" w:hAnsi="Times New Roman" w:cs="Times New Roman"/>
                <w:sz w:val="24"/>
              </w:rPr>
              <w:t xml:space="preserve">As GPAs are usually measured on a non-percentage scale (e.g., 4.0), and since almost all of the participating institutions instead use specific percentages, we believe academic average is the term that best describes what is being used in the Ontario context. </w:t>
            </w:r>
          </w:p>
        </w:tc>
      </w:tr>
    </w:tbl>
    <w:p w:rsidR="00AC6657" w:rsidRDefault="00AC6657" w:rsidP="00AC6657">
      <w:pPr>
        <w:pStyle w:val="NoSpacing"/>
        <w:rPr>
          <w:rFonts w:ascii="Times New Roman" w:hAnsi="Times New Roman" w:cs="Times New Roman"/>
          <w:sz w:val="28"/>
        </w:rPr>
      </w:pPr>
    </w:p>
    <w:sectPr w:rsidR="00AC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19B6"/>
    <w:multiLevelType w:val="hybridMultilevel"/>
    <w:tmpl w:val="04AE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C77E9"/>
    <w:multiLevelType w:val="hybridMultilevel"/>
    <w:tmpl w:val="EC62E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77C04"/>
    <w:multiLevelType w:val="hybridMultilevel"/>
    <w:tmpl w:val="0F52266C"/>
    <w:lvl w:ilvl="0" w:tplc="4476C41E">
      <w:start w:val="1"/>
      <w:numFmt w:val="bullet"/>
      <w:lvlText w:val=""/>
      <w:lvlJc w:val="left"/>
      <w:pPr>
        <w:ind w:left="720" w:hanging="360"/>
      </w:pPr>
      <w:rPr>
        <w:rFonts w:ascii="Symbol" w:hAnsi="Symbol" w:hint="default"/>
      </w:rPr>
    </w:lvl>
    <w:lvl w:ilvl="1" w:tplc="2CECE908">
      <w:start w:val="1"/>
      <w:numFmt w:val="bullet"/>
      <w:lvlText w:val="o"/>
      <w:lvlJc w:val="left"/>
      <w:pPr>
        <w:ind w:left="1440" w:hanging="360"/>
      </w:pPr>
      <w:rPr>
        <w:rFonts w:ascii="Courier New" w:hAnsi="Courier New" w:hint="default"/>
      </w:rPr>
    </w:lvl>
    <w:lvl w:ilvl="2" w:tplc="6860CBB6">
      <w:start w:val="1"/>
      <w:numFmt w:val="bullet"/>
      <w:lvlText w:val=""/>
      <w:lvlJc w:val="left"/>
      <w:pPr>
        <w:ind w:left="2160" w:hanging="360"/>
      </w:pPr>
      <w:rPr>
        <w:rFonts w:ascii="Wingdings" w:hAnsi="Wingdings" w:hint="default"/>
      </w:rPr>
    </w:lvl>
    <w:lvl w:ilvl="3" w:tplc="C16E1F48">
      <w:start w:val="1"/>
      <w:numFmt w:val="bullet"/>
      <w:lvlText w:val=""/>
      <w:lvlJc w:val="left"/>
      <w:pPr>
        <w:ind w:left="2880" w:hanging="360"/>
      </w:pPr>
      <w:rPr>
        <w:rFonts w:ascii="Symbol" w:hAnsi="Symbol" w:hint="default"/>
      </w:rPr>
    </w:lvl>
    <w:lvl w:ilvl="4" w:tplc="6E32ED8A">
      <w:start w:val="1"/>
      <w:numFmt w:val="bullet"/>
      <w:lvlText w:val="o"/>
      <w:lvlJc w:val="left"/>
      <w:pPr>
        <w:ind w:left="3600" w:hanging="360"/>
      </w:pPr>
      <w:rPr>
        <w:rFonts w:ascii="Courier New" w:hAnsi="Courier New" w:hint="default"/>
      </w:rPr>
    </w:lvl>
    <w:lvl w:ilvl="5" w:tplc="68F4E67E">
      <w:start w:val="1"/>
      <w:numFmt w:val="bullet"/>
      <w:lvlText w:val=""/>
      <w:lvlJc w:val="left"/>
      <w:pPr>
        <w:ind w:left="4320" w:hanging="360"/>
      </w:pPr>
      <w:rPr>
        <w:rFonts w:ascii="Wingdings" w:hAnsi="Wingdings" w:hint="default"/>
      </w:rPr>
    </w:lvl>
    <w:lvl w:ilvl="6" w:tplc="2B70AF58">
      <w:start w:val="1"/>
      <w:numFmt w:val="bullet"/>
      <w:lvlText w:val=""/>
      <w:lvlJc w:val="left"/>
      <w:pPr>
        <w:ind w:left="5040" w:hanging="360"/>
      </w:pPr>
      <w:rPr>
        <w:rFonts w:ascii="Symbol" w:hAnsi="Symbol" w:hint="default"/>
      </w:rPr>
    </w:lvl>
    <w:lvl w:ilvl="7" w:tplc="573E5004">
      <w:start w:val="1"/>
      <w:numFmt w:val="bullet"/>
      <w:lvlText w:val="o"/>
      <w:lvlJc w:val="left"/>
      <w:pPr>
        <w:ind w:left="5760" w:hanging="360"/>
      </w:pPr>
      <w:rPr>
        <w:rFonts w:ascii="Courier New" w:hAnsi="Courier New" w:hint="default"/>
      </w:rPr>
    </w:lvl>
    <w:lvl w:ilvl="8" w:tplc="FF226E5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5C"/>
    <w:rsid w:val="000106F6"/>
    <w:rsid w:val="00094382"/>
    <w:rsid w:val="000E2E85"/>
    <w:rsid w:val="001D00CC"/>
    <w:rsid w:val="001D470D"/>
    <w:rsid w:val="001E4AB8"/>
    <w:rsid w:val="00207B17"/>
    <w:rsid w:val="00230354"/>
    <w:rsid w:val="00241524"/>
    <w:rsid w:val="00256DEF"/>
    <w:rsid w:val="002A0F34"/>
    <w:rsid w:val="002A79AE"/>
    <w:rsid w:val="002C2D9B"/>
    <w:rsid w:val="002C33E8"/>
    <w:rsid w:val="002D0566"/>
    <w:rsid w:val="00360CEE"/>
    <w:rsid w:val="004F33C2"/>
    <w:rsid w:val="00521938"/>
    <w:rsid w:val="00553DE1"/>
    <w:rsid w:val="005D6D55"/>
    <w:rsid w:val="005E68D2"/>
    <w:rsid w:val="006370D7"/>
    <w:rsid w:val="00672480"/>
    <w:rsid w:val="006D5D5A"/>
    <w:rsid w:val="006E0D86"/>
    <w:rsid w:val="0070446F"/>
    <w:rsid w:val="007B549A"/>
    <w:rsid w:val="00805A56"/>
    <w:rsid w:val="00820EE4"/>
    <w:rsid w:val="00876FB5"/>
    <w:rsid w:val="00884A32"/>
    <w:rsid w:val="008C34ED"/>
    <w:rsid w:val="008C5A1E"/>
    <w:rsid w:val="00914D3D"/>
    <w:rsid w:val="009214BA"/>
    <w:rsid w:val="009217CA"/>
    <w:rsid w:val="00921CB3"/>
    <w:rsid w:val="00935427"/>
    <w:rsid w:val="00956A5C"/>
    <w:rsid w:val="00964CA1"/>
    <w:rsid w:val="009B482F"/>
    <w:rsid w:val="009B50CF"/>
    <w:rsid w:val="009E1D4A"/>
    <w:rsid w:val="00AA2564"/>
    <w:rsid w:val="00AC385A"/>
    <w:rsid w:val="00AC6657"/>
    <w:rsid w:val="00C2555B"/>
    <w:rsid w:val="00C365D3"/>
    <w:rsid w:val="00CC6282"/>
    <w:rsid w:val="00D03DB2"/>
    <w:rsid w:val="00D722F2"/>
    <w:rsid w:val="00D74158"/>
    <w:rsid w:val="00D83105"/>
    <w:rsid w:val="00DA00D1"/>
    <w:rsid w:val="00E06532"/>
    <w:rsid w:val="00E72013"/>
    <w:rsid w:val="00E92074"/>
    <w:rsid w:val="00E945AF"/>
    <w:rsid w:val="00E9486E"/>
    <w:rsid w:val="00EA150E"/>
    <w:rsid w:val="00F268B2"/>
    <w:rsid w:val="00F61A8A"/>
    <w:rsid w:val="00F7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BD63-3F3C-413A-B84F-AD4A186E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938"/>
    <w:pPr>
      <w:spacing w:after="0" w:line="240" w:lineRule="auto"/>
    </w:pPr>
  </w:style>
  <w:style w:type="table" w:styleId="TableGrid">
    <w:name w:val="Table Grid"/>
    <w:basedOn w:val="TableNormal"/>
    <w:uiPriority w:val="39"/>
    <w:rsid w:val="0052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214BA"/>
    <w:rPr>
      <w:sz w:val="16"/>
      <w:szCs w:val="16"/>
    </w:rPr>
  </w:style>
  <w:style w:type="paragraph" w:styleId="CommentText">
    <w:name w:val="annotation text"/>
    <w:basedOn w:val="Normal"/>
    <w:link w:val="CommentTextChar"/>
    <w:unhideWhenUsed/>
    <w:rsid w:val="009214B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9214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Holden</dc:creator>
  <cp:keywords/>
  <dc:description/>
  <cp:lastModifiedBy>Michael Holden</cp:lastModifiedBy>
  <cp:revision>63</cp:revision>
  <dcterms:created xsi:type="dcterms:W3CDTF">2016-08-27T16:43:00Z</dcterms:created>
  <dcterms:modified xsi:type="dcterms:W3CDTF">2016-08-27T18:34:00Z</dcterms:modified>
</cp:coreProperties>
</file>